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A5B9" w14:textId="77777777" w:rsidR="0074240E" w:rsidRPr="00CF5DBF" w:rsidRDefault="0074240E" w:rsidP="0074240E">
      <w:pPr>
        <w:pStyle w:val="p1"/>
        <w:rPr>
          <w:rFonts w:ascii="Calibri" w:hAnsi="Calibri" w:cs="Calibri"/>
        </w:rPr>
      </w:pPr>
      <w:r w:rsidRPr="00CF5DBF">
        <w:rPr>
          <w:rFonts w:ascii="Calibri" w:hAnsi="Calibri" w:cs="Calibri"/>
          <w:b/>
          <w:bCs/>
        </w:rPr>
        <w:t>Frequently Asked Questions:</w:t>
      </w:r>
    </w:p>
    <w:p w14:paraId="066F6E78" w14:textId="77777777" w:rsidR="0074240E" w:rsidRPr="00CF5DBF" w:rsidRDefault="0074240E" w:rsidP="0074240E">
      <w:pPr>
        <w:pStyle w:val="p1"/>
        <w:rPr>
          <w:rFonts w:ascii="Calibri" w:hAnsi="Calibri" w:cs="Calibri"/>
          <w:b/>
          <w:bCs/>
        </w:rPr>
      </w:pPr>
      <w:r w:rsidRPr="00CF5DBF">
        <w:rPr>
          <w:rFonts w:ascii="Calibri" w:hAnsi="Calibri" w:cs="Calibri"/>
          <w:b/>
          <w:bCs/>
        </w:rPr>
        <w:t>Conflicts of Interest and Commitment (COIC) Policy</w:t>
      </w:r>
    </w:p>
    <w:p w14:paraId="72E915A6" w14:textId="77777777" w:rsidR="00CF5DBF" w:rsidRPr="00CF5DBF" w:rsidRDefault="00CF5DBF" w:rsidP="0074240E">
      <w:pPr>
        <w:pStyle w:val="p1"/>
        <w:rPr>
          <w:rFonts w:ascii="Calibri" w:hAnsi="Calibri" w:cs="Calibri"/>
          <w:b/>
          <w:bCs/>
          <w:sz w:val="22"/>
          <w:szCs w:val="22"/>
        </w:rPr>
      </w:pPr>
    </w:p>
    <w:p w14:paraId="7BEDB746" w14:textId="40092AAD" w:rsidR="0074240E" w:rsidRPr="00CF5DBF" w:rsidRDefault="0074240E" w:rsidP="00CF5DBF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CF5DBF">
        <w:rPr>
          <w:rFonts w:ascii="Calibri" w:hAnsi="Calibri" w:cs="Calibri"/>
          <w:b/>
          <w:bCs/>
          <w:sz w:val="21"/>
          <w:szCs w:val="21"/>
        </w:rPr>
        <w:t>What should I know about the COIC policy? How does it impact me?</w:t>
      </w:r>
    </w:p>
    <w:p w14:paraId="14977A99" w14:textId="77777777" w:rsid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</w:p>
    <w:p w14:paraId="60D597FF" w14:textId="41AC9330" w:rsidR="00CF5DBF" w:rsidRP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Iowa State’s COIC policy covers conflicts of interest and conflicts of commitment (time/effort).</w:t>
      </w:r>
    </w:p>
    <w:p w14:paraId="7D34EBC6" w14:textId="77777777" w:rsidR="00CF5DBF" w:rsidRP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Several widely publicized situations in higher education in recent years have brought this</w:t>
      </w:r>
    </w:p>
    <w:p w14:paraId="7245F879" w14:textId="77777777" w:rsidR="00CF5DBF" w:rsidRP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issue to public attention. The policy is necessary because conflicts are a normal part of an</w:t>
      </w:r>
    </w:p>
    <w:p w14:paraId="015A2961" w14:textId="77777777" w:rsidR="00CF5DBF" w:rsidRP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active and vibrant university and, with the increasing emphasis of universities on outreach</w:t>
      </w:r>
    </w:p>
    <w:p w14:paraId="7AF2259B" w14:textId="77777777" w:rsidR="00CF5DBF" w:rsidRP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and economic development, more university personnel are becoming involved with external</w:t>
      </w:r>
    </w:p>
    <w:p w14:paraId="3699B46E" w14:textId="77777777" w:rsidR="00CF5DBF" w:rsidRP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entities or starting their own companies.</w:t>
      </w:r>
    </w:p>
    <w:p w14:paraId="6D9DFBE6" w14:textId="77777777" w:rsid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</w:p>
    <w:p w14:paraId="70B3A6B9" w14:textId="64E143B2" w:rsidR="00CF5DBF" w:rsidRPr="00CF5DBF" w:rsidRDefault="00CF5DBF" w:rsidP="00CF5DBF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CF5DBF">
        <w:rPr>
          <w:rFonts w:ascii="Calibri" w:hAnsi="Calibri" w:cs="Calibri"/>
          <w:b/>
          <w:bCs/>
          <w:sz w:val="21"/>
          <w:szCs w:val="21"/>
        </w:rPr>
        <w:t>How do I disclose potential conflicts of interest and commitment?</w:t>
      </w:r>
    </w:p>
    <w:p w14:paraId="3A79E545" w14:textId="77777777" w:rsidR="00CF5DBF" w:rsidRPr="00CF5DBF" w:rsidRDefault="00CF5DBF" w:rsidP="00CF5DBF">
      <w:pPr>
        <w:pStyle w:val="p2"/>
        <w:ind w:left="360"/>
        <w:rPr>
          <w:rFonts w:ascii="Calibri" w:hAnsi="Calibri" w:cs="Calibri"/>
          <w:b/>
          <w:bCs/>
          <w:sz w:val="21"/>
          <w:szCs w:val="21"/>
        </w:rPr>
      </w:pPr>
    </w:p>
    <w:p w14:paraId="17C7A714" w14:textId="4A0199E6" w:rsidR="00CF5DBF" w:rsidRP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Whether you think you have a conflict or not, covered employees are required to disclose</w:t>
      </w:r>
    </w:p>
    <w:p w14:paraId="61616828" w14:textId="77777777" w:rsidR="00CF5DBF" w:rsidRP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 xml:space="preserve">potential conflict of interest and commitment situations. Using </w:t>
      </w:r>
      <w:proofErr w:type="spellStart"/>
      <w:r w:rsidRPr="00CF5DBF">
        <w:rPr>
          <w:rFonts w:ascii="Calibri" w:hAnsi="Calibri" w:cs="Calibri"/>
          <w:sz w:val="21"/>
          <w:szCs w:val="21"/>
        </w:rPr>
        <w:t>IRBManager</w:t>
      </w:r>
      <w:proofErr w:type="spellEnd"/>
      <w:r w:rsidRPr="00CF5DBF">
        <w:rPr>
          <w:rFonts w:ascii="Calibri" w:hAnsi="Calibri" w:cs="Calibri"/>
          <w:sz w:val="21"/>
          <w:szCs w:val="21"/>
        </w:rPr>
        <w:t>, go to the</w:t>
      </w:r>
    </w:p>
    <w:p w14:paraId="70E5A1B7" w14:textId="0A46FB82" w:rsidR="00CF5DBF" w:rsidRP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 xml:space="preserve">COIC tab and click on “COIC Disclosure Form” </w:t>
      </w:r>
      <w:r w:rsidR="00044617">
        <w:rPr>
          <w:rFonts w:ascii="Calibri" w:hAnsi="Calibri" w:cs="Calibri"/>
          <w:sz w:val="21"/>
          <w:szCs w:val="21"/>
        </w:rPr>
        <w:t xml:space="preserve">to </w:t>
      </w:r>
      <w:r w:rsidRPr="00CF5DBF">
        <w:rPr>
          <w:rFonts w:ascii="Calibri" w:hAnsi="Calibri" w:cs="Calibri"/>
          <w:sz w:val="21"/>
          <w:szCs w:val="21"/>
        </w:rPr>
        <w:t>complete the form. Your answers will be</w:t>
      </w:r>
    </w:p>
    <w:p w14:paraId="3479EBDB" w14:textId="77777777" w:rsidR="00CF5DBF" w:rsidRP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reviewed by your supervisor. If a conflict of interest or commitment is possible, you will</w:t>
      </w:r>
    </w:p>
    <w:p w14:paraId="445A0C7F" w14:textId="77777777" w:rsidR="00CF5DBF" w:rsidRP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be contacted to arrange further discussions and, if necessary, develop an appropriate</w:t>
      </w:r>
    </w:p>
    <w:p w14:paraId="4D9E391B" w14:textId="77777777" w:rsidR="00CF5DBF" w:rsidRP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Conflict of Interest Management Plan.</w:t>
      </w:r>
    </w:p>
    <w:p w14:paraId="08509DF0" w14:textId="77777777" w:rsidR="00CF5DBF" w:rsidRPr="00CF5DBF" w:rsidRDefault="00CF5DBF" w:rsidP="00CF5DBF">
      <w:pPr>
        <w:pStyle w:val="p2"/>
        <w:rPr>
          <w:rFonts w:ascii="Calibri" w:hAnsi="Calibri" w:cs="Calibri"/>
          <w:sz w:val="21"/>
          <w:szCs w:val="21"/>
        </w:rPr>
      </w:pPr>
    </w:p>
    <w:p w14:paraId="6297F30F" w14:textId="24EB68AF" w:rsidR="00CF5DBF" w:rsidRPr="000341A2" w:rsidRDefault="00CF5DBF" w:rsidP="0041054F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0341A2">
        <w:rPr>
          <w:rFonts w:ascii="Calibri" w:hAnsi="Calibri" w:cs="Calibri"/>
          <w:b/>
          <w:bCs/>
          <w:sz w:val="21"/>
          <w:szCs w:val="21"/>
        </w:rPr>
        <w:t>Why are we required to disclose our external activities? Why doesn’t Iowa State jus</w:t>
      </w:r>
      <w:r w:rsidRPr="000341A2">
        <w:rPr>
          <w:rFonts w:ascii="Calibri" w:hAnsi="Calibri" w:cs="Calibri"/>
          <w:b/>
          <w:bCs/>
          <w:sz w:val="21"/>
          <w:szCs w:val="21"/>
        </w:rPr>
        <w:t xml:space="preserve">t </w:t>
      </w:r>
      <w:r w:rsidRPr="000341A2">
        <w:rPr>
          <w:rFonts w:ascii="Calibri" w:hAnsi="Calibri" w:cs="Calibri"/>
          <w:b/>
          <w:bCs/>
          <w:sz w:val="21"/>
          <w:szCs w:val="21"/>
        </w:rPr>
        <w:t>trust its employees?</w:t>
      </w:r>
    </w:p>
    <w:p w14:paraId="3EC1E3C0" w14:textId="77777777" w:rsidR="00CF5DBF" w:rsidRPr="00CF5DBF" w:rsidRDefault="00CF5DBF" w:rsidP="00CF5DBF">
      <w:pPr>
        <w:pStyle w:val="p2"/>
        <w:ind w:left="360"/>
        <w:rPr>
          <w:rFonts w:ascii="Calibri" w:hAnsi="Calibri" w:cs="Calibri"/>
          <w:sz w:val="21"/>
          <w:szCs w:val="21"/>
        </w:rPr>
      </w:pPr>
    </w:p>
    <w:p w14:paraId="21D98024" w14:textId="7B2F4EA1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 xml:space="preserve">The reality is </w:t>
      </w:r>
      <w:r w:rsidR="00044617" w:rsidRPr="00CF5DBF">
        <w:rPr>
          <w:rFonts w:ascii="Calibri" w:hAnsi="Calibri" w:cs="Calibri"/>
          <w:sz w:val="21"/>
          <w:szCs w:val="21"/>
        </w:rPr>
        <w:t>that</w:t>
      </w:r>
      <w:r w:rsidRPr="00CF5DBF">
        <w:rPr>
          <w:rFonts w:ascii="Calibri" w:hAnsi="Calibri" w:cs="Calibri"/>
          <w:sz w:val="21"/>
          <w:szCs w:val="21"/>
        </w:rPr>
        <w:t xml:space="preserve"> every year, Iowa State faculty and staff are criticized for external</w:t>
      </w:r>
    </w:p>
    <w:p w14:paraId="3015A1FF" w14:textId="77777777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relationships that appear to affect their work. Some criticisms are founded and some are not.</w:t>
      </w:r>
    </w:p>
    <w:p w14:paraId="48F480F6" w14:textId="77777777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If the activity is disclosed, reviewed, and approved, it protects the employee from unfounded</w:t>
      </w:r>
    </w:p>
    <w:p w14:paraId="67044896" w14:textId="77777777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accusations. The disclosure is an opportunity for you and your supervisor to discuss your</w:t>
      </w:r>
    </w:p>
    <w:p w14:paraId="2A619FEC" w14:textId="77777777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external activities that are or could be perceived to be conflicts of interest or conflicts of</w:t>
      </w:r>
    </w:p>
    <w:p w14:paraId="7E40FD1E" w14:textId="77777777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commitment and, if needed, establish a management plan. If significant financial interests,</w:t>
      </w:r>
    </w:p>
    <w:p w14:paraId="1E3B66AE" w14:textId="77777777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management roles, or procurement are involved, these discussions may include the Office of</w:t>
      </w:r>
    </w:p>
    <w:p w14:paraId="67DEE192" w14:textId="77777777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the Vice President for Research (VPR) and Procurement Services.</w:t>
      </w:r>
    </w:p>
    <w:p w14:paraId="4858AA11" w14:textId="77777777" w:rsidR="0041054F" w:rsidRDefault="0041054F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1D6EA042" w14:textId="006A57FC" w:rsidR="0074240E" w:rsidRPr="000341A2" w:rsidRDefault="0074240E" w:rsidP="0074240E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0341A2">
        <w:rPr>
          <w:rFonts w:ascii="Calibri" w:hAnsi="Calibri" w:cs="Calibri"/>
          <w:b/>
          <w:bCs/>
          <w:sz w:val="21"/>
          <w:szCs w:val="21"/>
        </w:rPr>
        <w:t>Won’t these requirements discourage employees from getting involved in positive,</w:t>
      </w:r>
      <w:r w:rsidR="000341A2" w:rsidRPr="000341A2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0341A2">
        <w:rPr>
          <w:rFonts w:ascii="Calibri" w:hAnsi="Calibri" w:cs="Calibri"/>
          <w:b/>
          <w:bCs/>
          <w:sz w:val="21"/>
          <w:szCs w:val="21"/>
        </w:rPr>
        <w:t>creative, and entrepreneurial activities?</w:t>
      </w:r>
    </w:p>
    <w:p w14:paraId="57EC00A0" w14:textId="77777777" w:rsidR="000341A2" w:rsidRDefault="000341A2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3806C5FD" w14:textId="5A3C573F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Integrity is an institutional goal, and a part of everyone’s job. Disclosure of potential conflicts</w:t>
      </w:r>
    </w:p>
    <w:p w14:paraId="76E655B8" w14:textId="77777777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 xml:space="preserve">is an easy procedure, and the management of conflicts protects the individuals and </w:t>
      </w:r>
      <w:proofErr w:type="gramStart"/>
      <w:r w:rsidRPr="00CF5DBF">
        <w:rPr>
          <w:rFonts w:ascii="Calibri" w:hAnsi="Calibri" w:cs="Calibri"/>
          <w:sz w:val="21"/>
          <w:szCs w:val="21"/>
        </w:rPr>
        <w:t>their</w:t>
      </w:r>
      <w:proofErr w:type="gramEnd"/>
    </w:p>
    <w:p w14:paraId="7D7379BD" w14:textId="77777777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endeavors. Whenever possible, we manage conflicts; we do not discourage them.</w:t>
      </w:r>
    </w:p>
    <w:p w14:paraId="2126B705" w14:textId="77777777" w:rsidR="000341A2" w:rsidRDefault="000341A2" w:rsidP="0074240E">
      <w:pPr>
        <w:pStyle w:val="p2"/>
        <w:rPr>
          <w:rStyle w:val="s1"/>
          <w:rFonts w:ascii="Calibri" w:eastAsiaTheme="majorEastAsia" w:hAnsi="Calibri" w:cs="Calibri"/>
          <w:b/>
          <w:bCs/>
          <w:sz w:val="21"/>
          <w:szCs w:val="21"/>
        </w:rPr>
      </w:pPr>
    </w:p>
    <w:p w14:paraId="2005D5EF" w14:textId="74A021E5" w:rsidR="0074240E" w:rsidRPr="000341A2" w:rsidRDefault="0074240E" w:rsidP="0074240E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0341A2">
        <w:rPr>
          <w:rFonts w:ascii="Calibri" w:hAnsi="Calibri" w:cs="Calibri"/>
          <w:b/>
          <w:bCs/>
          <w:sz w:val="21"/>
          <w:szCs w:val="21"/>
        </w:rPr>
        <w:t xml:space="preserve">What is </w:t>
      </w:r>
      <w:proofErr w:type="gramStart"/>
      <w:r w:rsidRPr="000341A2">
        <w:rPr>
          <w:rFonts w:ascii="Calibri" w:hAnsi="Calibri" w:cs="Calibri"/>
          <w:b/>
          <w:bCs/>
          <w:sz w:val="21"/>
          <w:szCs w:val="21"/>
        </w:rPr>
        <w:t>actually in</w:t>
      </w:r>
      <w:proofErr w:type="gramEnd"/>
      <w:r w:rsidRPr="000341A2">
        <w:rPr>
          <w:rFonts w:ascii="Calibri" w:hAnsi="Calibri" w:cs="Calibri"/>
          <w:b/>
          <w:bCs/>
          <w:sz w:val="21"/>
          <w:szCs w:val="21"/>
        </w:rPr>
        <w:t xml:space="preserve"> a management plan? Is it a lot of dos and don’ts? What might a</w:t>
      </w:r>
      <w:r w:rsidR="000341A2" w:rsidRPr="000341A2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0341A2">
        <w:rPr>
          <w:rFonts w:ascii="Calibri" w:hAnsi="Calibri" w:cs="Calibri"/>
          <w:b/>
          <w:bCs/>
          <w:sz w:val="21"/>
          <w:szCs w:val="21"/>
        </w:rPr>
        <w:t>management plan look like or entail?</w:t>
      </w:r>
    </w:p>
    <w:p w14:paraId="183F0EDD" w14:textId="77777777" w:rsidR="000341A2" w:rsidRDefault="000341A2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1AECF902" w14:textId="65480D9C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The content of management plans varies depending on the nature of the conflict and whether</w:t>
      </w:r>
    </w:p>
    <w:p w14:paraId="10198AA3" w14:textId="77777777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it needs to be managed at the department or VPR level. Examples of items that might be</w:t>
      </w:r>
    </w:p>
    <w:p w14:paraId="3EE83893" w14:textId="77777777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included in a plan are provided in the COIC Procedures, Applications and Guidance document.</w:t>
      </w:r>
    </w:p>
    <w:p w14:paraId="6DCF436E" w14:textId="77777777" w:rsidR="0074240E" w:rsidRPr="00CF5DBF" w:rsidRDefault="0074240E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Most management plans require only a single meeting per year.</w:t>
      </w:r>
    </w:p>
    <w:p w14:paraId="6A7A89A9" w14:textId="77777777" w:rsidR="000341A2" w:rsidRDefault="000341A2" w:rsidP="000341A2">
      <w:pPr>
        <w:pStyle w:val="p2"/>
        <w:ind w:left="360"/>
        <w:rPr>
          <w:rFonts w:ascii="Calibri" w:hAnsi="Calibri" w:cs="Calibri"/>
          <w:sz w:val="21"/>
          <w:szCs w:val="21"/>
        </w:rPr>
      </w:pPr>
    </w:p>
    <w:p w14:paraId="435ABF9B" w14:textId="6DA153EC" w:rsidR="0074240E" w:rsidRPr="002F5D23" w:rsidRDefault="0074240E" w:rsidP="002F5D23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2F5D23">
        <w:rPr>
          <w:rFonts w:ascii="Calibri" w:hAnsi="Calibri" w:cs="Calibri"/>
          <w:b/>
          <w:bCs/>
          <w:sz w:val="21"/>
          <w:szCs w:val="21"/>
        </w:rPr>
        <w:t>Who sees the information in the disclosure, and what is it used for?</w:t>
      </w:r>
    </w:p>
    <w:p w14:paraId="576D7247" w14:textId="77777777" w:rsidR="002F5D23" w:rsidRDefault="002F5D23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0B7585D6" w14:textId="40B0BDC8" w:rsidR="0074240E" w:rsidRPr="00CF5DBF" w:rsidRDefault="0074240E" w:rsidP="002F5D23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lastRenderedPageBreak/>
        <w:t>Only your supervisor and persons in the VPR Office, Procurement Services, the SVPP Office,</w:t>
      </w:r>
    </w:p>
    <w:p w14:paraId="369C2521" w14:textId="77777777" w:rsidR="0074240E" w:rsidRPr="00CF5DBF" w:rsidRDefault="0074240E" w:rsidP="002F5D23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and others involved in managing conflicts of interest and commitment can see the</w:t>
      </w:r>
    </w:p>
    <w:p w14:paraId="1F493A48" w14:textId="77777777" w:rsidR="0074240E" w:rsidRPr="00CF5DBF" w:rsidRDefault="0074240E" w:rsidP="002F5D23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information. Some contracts or grants may require that the sponsor or contractor have</w:t>
      </w:r>
    </w:p>
    <w:p w14:paraId="574DA715" w14:textId="77777777" w:rsidR="0074240E" w:rsidRPr="00CF5DBF" w:rsidRDefault="0074240E" w:rsidP="002F5D23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access. Information in the disclosure is used to help you, your supervisor, the VPR Office and</w:t>
      </w:r>
    </w:p>
    <w:p w14:paraId="590FC30B" w14:textId="77777777" w:rsidR="0074240E" w:rsidRPr="00CF5DBF" w:rsidRDefault="0074240E" w:rsidP="002F5D23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Procurement Services identify potential conflicts of interest and commitment that may</w:t>
      </w:r>
    </w:p>
    <w:p w14:paraId="4CBA64D9" w14:textId="77777777" w:rsidR="0074240E" w:rsidRPr="00CF5DBF" w:rsidRDefault="0074240E" w:rsidP="002F5D23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require management. The COIC disclosure is considered part of the employee’s employment</w:t>
      </w:r>
    </w:p>
    <w:p w14:paraId="25BBA93B" w14:textId="77777777" w:rsidR="0074240E" w:rsidRPr="00CF5DBF" w:rsidRDefault="0074240E" w:rsidP="002F5D23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record and exempt from public records laws requiring disclosure.</w:t>
      </w:r>
    </w:p>
    <w:p w14:paraId="6E01F6AD" w14:textId="77777777" w:rsidR="000341A2" w:rsidRDefault="000341A2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6CC8B3B2" w14:textId="79923961" w:rsidR="0074240E" w:rsidRPr="002F5D23" w:rsidRDefault="0074240E" w:rsidP="0074240E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2F5D23">
        <w:rPr>
          <w:rFonts w:ascii="Calibri" w:hAnsi="Calibri" w:cs="Calibri"/>
          <w:b/>
          <w:bCs/>
          <w:sz w:val="21"/>
          <w:szCs w:val="21"/>
        </w:rPr>
        <w:t>I find the definition of consulting very confusing. For instance, when I serve on an NSF</w:t>
      </w:r>
      <w:r w:rsidR="002F5D23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2F5D23">
        <w:rPr>
          <w:rFonts w:ascii="Calibri" w:hAnsi="Calibri" w:cs="Calibri"/>
          <w:b/>
          <w:bCs/>
          <w:sz w:val="21"/>
          <w:szCs w:val="21"/>
        </w:rPr>
        <w:t>grant review panel, is it considered consulting? Do I have to report it?</w:t>
      </w:r>
    </w:p>
    <w:p w14:paraId="4C97A61C" w14:textId="77777777" w:rsidR="002F5D23" w:rsidRDefault="002F5D23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6AA29F69" w14:textId="5231690B" w:rsidR="0074240E" w:rsidRPr="00CF5DBF" w:rsidRDefault="0074240E" w:rsidP="00612C0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No. Iowa State encourages faculty and staff to serve on grant review panels when given the</w:t>
      </w:r>
    </w:p>
    <w:p w14:paraId="7BCA60C6" w14:textId="77777777" w:rsidR="0074240E" w:rsidRPr="00CF5DBF" w:rsidRDefault="0074240E" w:rsidP="00612C0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opportunity to do so. For many faculty and staff, it is an expectation of your position</w:t>
      </w:r>
    </w:p>
    <w:p w14:paraId="1DEF7FC5" w14:textId="77777777" w:rsidR="0074240E" w:rsidRPr="00CF5DBF" w:rsidRDefault="0074240E" w:rsidP="00612C0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responsibilities. Iowa State’s definition of consulting specifically excludes activities that are</w:t>
      </w:r>
    </w:p>
    <w:p w14:paraId="08057B84" w14:textId="77777777" w:rsidR="0074240E" w:rsidRPr="00CF5DBF" w:rsidRDefault="0074240E" w:rsidP="00612C0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expectations of your position responsibilities.</w:t>
      </w:r>
    </w:p>
    <w:p w14:paraId="1C12FD44" w14:textId="77777777" w:rsidR="000341A2" w:rsidRDefault="000341A2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787534F9" w14:textId="34B6F320" w:rsidR="0074240E" w:rsidRPr="00044617" w:rsidRDefault="0074240E" w:rsidP="0074240E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612C0A">
        <w:rPr>
          <w:rFonts w:ascii="Calibri" w:hAnsi="Calibri" w:cs="Calibri"/>
          <w:b/>
          <w:bCs/>
          <w:sz w:val="21"/>
          <w:szCs w:val="21"/>
        </w:rPr>
        <w:t>Iowa State wants its faculty and staff to consult with external entities and start</w:t>
      </w:r>
      <w:r w:rsidR="00044617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044617">
        <w:rPr>
          <w:rFonts w:ascii="Calibri" w:hAnsi="Calibri" w:cs="Calibri"/>
          <w:b/>
          <w:bCs/>
          <w:sz w:val="21"/>
          <w:szCs w:val="21"/>
        </w:rPr>
        <w:t>companies. Why is consulting or starting a company not considered an expectation of</w:t>
      </w:r>
      <w:r w:rsidR="00044617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044617">
        <w:rPr>
          <w:rFonts w:ascii="Calibri" w:hAnsi="Calibri" w:cs="Calibri"/>
          <w:b/>
          <w:bCs/>
          <w:sz w:val="21"/>
          <w:szCs w:val="21"/>
        </w:rPr>
        <w:t>my position responsibilities?</w:t>
      </w:r>
    </w:p>
    <w:p w14:paraId="706D275C" w14:textId="77777777" w:rsidR="00612C0A" w:rsidRPr="00612C0A" w:rsidRDefault="00612C0A" w:rsidP="0074240E">
      <w:pPr>
        <w:pStyle w:val="p2"/>
        <w:rPr>
          <w:rFonts w:ascii="Calibri" w:hAnsi="Calibri" w:cs="Calibri"/>
          <w:b/>
          <w:bCs/>
          <w:sz w:val="21"/>
          <w:szCs w:val="21"/>
        </w:rPr>
      </w:pPr>
    </w:p>
    <w:p w14:paraId="437E37A8" w14:textId="76CEA3C1" w:rsidR="0074240E" w:rsidRPr="00CF5DBF" w:rsidRDefault="0074240E" w:rsidP="00044617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Unless it is part of your job, consulting and starting a company are private activities. These</w:t>
      </w:r>
    </w:p>
    <w:p w14:paraId="5C2A03F8" w14:textId="77777777" w:rsidR="0074240E" w:rsidRPr="00CF5DBF" w:rsidRDefault="0074240E" w:rsidP="00044617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outside activities have liabilities and obligations that the university cannot assume.</w:t>
      </w:r>
    </w:p>
    <w:p w14:paraId="5FE44A83" w14:textId="77777777" w:rsidR="00612C0A" w:rsidRDefault="00612C0A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06463CE8" w14:textId="6DFB517E" w:rsidR="0074240E" w:rsidRPr="00E13CD4" w:rsidRDefault="0074240E" w:rsidP="0074240E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612C0A">
        <w:rPr>
          <w:rFonts w:ascii="Calibri" w:hAnsi="Calibri" w:cs="Calibri"/>
          <w:b/>
          <w:bCs/>
          <w:sz w:val="21"/>
          <w:szCs w:val="21"/>
        </w:rPr>
        <w:t>I do a lot of consulting for companies throughout the year. It is expected that people in</w:t>
      </w:r>
      <w:r w:rsidR="00E13CD4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E13CD4">
        <w:rPr>
          <w:rFonts w:ascii="Calibri" w:hAnsi="Calibri" w:cs="Calibri"/>
          <w:b/>
          <w:bCs/>
          <w:sz w:val="21"/>
          <w:szCs w:val="21"/>
        </w:rPr>
        <w:t>my position consult. Do I need a management plan?</w:t>
      </w:r>
    </w:p>
    <w:p w14:paraId="54C3E2D8" w14:textId="77777777" w:rsidR="00612C0A" w:rsidRDefault="00612C0A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</w:p>
    <w:p w14:paraId="4F9B42A2" w14:textId="540B68E4" w:rsidR="0074240E" w:rsidRPr="00860E1D" w:rsidRDefault="0074240E" w:rsidP="00E13CD4">
      <w:pPr>
        <w:pStyle w:val="p2"/>
        <w:ind w:left="360"/>
        <w:rPr>
          <w:rFonts w:ascii="Calibri" w:hAnsi="Calibri" w:cs="Calibri"/>
          <w:i/>
          <w:iCs/>
          <w:sz w:val="21"/>
          <w:szCs w:val="21"/>
        </w:rPr>
      </w:pPr>
      <w:r w:rsidRPr="00860E1D">
        <w:rPr>
          <w:rFonts w:ascii="Calibri" w:hAnsi="Calibri" w:cs="Calibri"/>
          <w:i/>
          <w:iCs/>
          <w:sz w:val="21"/>
          <w:szCs w:val="21"/>
        </w:rPr>
        <w:t xml:space="preserve">It </w:t>
      </w:r>
      <w:proofErr w:type="gramStart"/>
      <w:r w:rsidRPr="00860E1D">
        <w:rPr>
          <w:rFonts w:ascii="Calibri" w:hAnsi="Calibri" w:cs="Calibri"/>
          <w:i/>
          <w:iCs/>
          <w:sz w:val="21"/>
          <w:szCs w:val="21"/>
        </w:rPr>
        <w:t>depends</w:t>
      </w:r>
      <w:proofErr w:type="gramEnd"/>
      <w:r w:rsidRPr="00860E1D">
        <w:rPr>
          <w:rFonts w:ascii="Calibri" w:hAnsi="Calibri" w:cs="Calibri"/>
          <w:i/>
          <w:iCs/>
          <w:sz w:val="21"/>
          <w:szCs w:val="21"/>
        </w:rPr>
        <w:t xml:space="preserve"> …</w:t>
      </w:r>
    </w:p>
    <w:p w14:paraId="57EA72B8" w14:textId="77777777" w:rsidR="00860E1D" w:rsidRPr="00CF5DBF" w:rsidRDefault="00860E1D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</w:p>
    <w:p w14:paraId="12581D17" w14:textId="77777777" w:rsidR="0074240E" w:rsidRPr="00CF5DBF" w:rsidRDefault="0074240E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•</w:t>
      </w:r>
      <w:r w:rsidRPr="00CF5DBF">
        <w:rPr>
          <w:rStyle w:val="s1"/>
          <w:rFonts w:ascii="Calibri" w:eastAsiaTheme="majorEastAsia" w:hAnsi="Calibri" w:cs="Calibri"/>
          <w:sz w:val="21"/>
          <w:szCs w:val="21"/>
        </w:rPr>
        <w:t xml:space="preserve"> </w:t>
      </w:r>
      <w:r w:rsidRPr="00CF5DBF">
        <w:rPr>
          <w:rFonts w:ascii="Calibri" w:hAnsi="Calibri" w:cs="Calibri"/>
          <w:sz w:val="21"/>
          <w:szCs w:val="21"/>
        </w:rPr>
        <w:t>If the “consulting” activities are truly something you do as part of your position</w:t>
      </w:r>
    </w:p>
    <w:p w14:paraId="5960C5D5" w14:textId="77777777" w:rsidR="0074240E" w:rsidRPr="00CF5DBF" w:rsidRDefault="0074240E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responsibilities (that is, the university pays you to do them and you are not paid</w:t>
      </w:r>
    </w:p>
    <w:p w14:paraId="70926B58" w14:textId="77777777" w:rsidR="0074240E" w:rsidRPr="00CF5DBF" w:rsidRDefault="0074240E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privately to do them), then those activities are not considered consulting for the</w:t>
      </w:r>
    </w:p>
    <w:p w14:paraId="3C2D0F8C" w14:textId="77777777" w:rsidR="0074240E" w:rsidRDefault="0074240E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purposes of the COIC policy.</w:t>
      </w:r>
    </w:p>
    <w:p w14:paraId="2D0A9DF2" w14:textId="77777777" w:rsidR="002C678B" w:rsidRPr="00CF5DBF" w:rsidRDefault="002C678B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</w:p>
    <w:p w14:paraId="27BA3C03" w14:textId="77777777" w:rsidR="0074240E" w:rsidRPr="00CF5DBF" w:rsidRDefault="0074240E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•</w:t>
      </w:r>
      <w:r w:rsidRPr="00CF5DBF">
        <w:rPr>
          <w:rStyle w:val="s1"/>
          <w:rFonts w:ascii="Calibri" w:eastAsiaTheme="majorEastAsia" w:hAnsi="Calibri" w:cs="Calibri"/>
          <w:sz w:val="21"/>
          <w:szCs w:val="21"/>
        </w:rPr>
        <w:t xml:space="preserve"> </w:t>
      </w:r>
      <w:r w:rsidRPr="00CF5DBF">
        <w:rPr>
          <w:rFonts w:ascii="Calibri" w:hAnsi="Calibri" w:cs="Calibri"/>
          <w:sz w:val="21"/>
          <w:szCs w:val="21"/>
        </w:rPr>
        <w:t>If the consulting activities are something you are doing as a private citizen, then you</w:t>
      </w:r>
    </w:p>
    <w:p w14:paraId="2E9D03E0" w14:textId="77777777" w:rsidR="0074240E" w:rsidRPr="00CF5DBF" w:rsidRDefault="0074240E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must disclose them and discuss them with your supervisor. If they do not meet the</w:t>
      </w:r>
    </w:p>
    <w:p w14:paraId="58AA7879" w14:textId="77777777" w:rsidR="0074240E" w:rsidRPr="00CF5DBF" w:rsidRDefault="0074240E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criteria for a significant financial interest, then the supervisor will determine</w:t>
      </w:r>
    </w:p>
    <w:p w14:paraId="1EDC9A78" w14:textId="77777777" w:rsidR="0074240E" w:rsidRDefault="0074240E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whether a written plan is needed.</w:t>
      </w:r>
    </w:p>
    <w:p w14:paraId="1CC9E912" w14:textId="77777777" w:rsidR="002C678B" w:rsidRPr="00CF5DBF" w:rsidRDefault="002C678B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</w:p>
    <w:p w14:paraId="101E9F46" w14:textId="77777777" w:rsidR="0074240E" w:rsidRPr="00CF5DBF" w:rsidRDefault="0074240E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•</w:t>
      </w:r>
      <w:r w:rsidRPr="00CF5DBF">
        <w:rPr>
          <w:rStyle w:val="s1"/>
          <w:rFonts w:ascii="Calibri" w:eastAsiaTheme="majorEastAsia" w:hAnsi="Calibri" w:cs="Calibri"/>
          <w:sz w:val="21"/>
          <w:szCs w:val="21"/>
        </w:rPr>
        <w:t xml:space="preserve"> </w:t>
      </w:r>
      <w:r w:rsidRPr="00CF5DBF">
        <w:rPr>
          <w:rFonts w:ascii="Calibri" w:hAnsi="Calibri" w:cs="Calibri"/>
          <w:sz w:val="21"/>
          <w:szCs w:val="21"/>
        </w:rPr>
        <w:t>If the consulting activities meet the criteria for a significant financial interest, you</w:t>
      </w:r>
    </w:p>
    <w:p w14:paraId="01D10452" w14:textId="77777777" w:rsidR="0074240E" w:rsidRPr="00CF5DBF" w:rsidRDefault="0074240E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need to disclose them and discuss them with both your supervisor and Iowa State’s</w:t>
      </w:r>
    </w:p>
    <w:p w14:paraId="4A9F60A1" w14:textId="77777777" w:rsidR="0074240E" w:rsidRPr="00CF5DBF" w:rsidRDefault="0074240E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Conflict of Interest Officer. A formal management plan will be required in most</w:t>
      </w:r>
    </w:p>
    <w:p w14:paraId="5F4AEC16" w14:textId="77777777" w:rsidR="0074240E" w:rsidRPr="00CF5DBF" w:rsidRDefault="0074240E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situations.</w:t>
      </w:r>
    </w:p>
    <w:p w14:paraId="7DA9EDC5" w14:textId="75809378" w:rsidR="00612C0A" w:rsidRDefault="00612C0A" w:rsidP="0074240E">
      <w:pPr>
        <w:pStyle w:val="p2"/>
        <w:rPr>
          <w:rStyle w:val="s1"/>
          <w:rFonts w:ascii="Calibri" w:eastAsiaTheme="majorEastAsia" w:hAnsi="Calibri" w:cs="Calibri"/>
          <w:b/>
          <w:bCs/>
          <w:sz w:val="21"/>
          <w:szCs w:val="21"/>
        </w:rPr>
      </w:pPr>
    </w:p>
    <w:p w14:paraId="0E187D37" w14:textId="072D3C3C" w:rsidR="0074240E" w:rsidRPr="00E13CD4" w:rsidRDefault="0074240E" w:rsidP="0074240E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2C678B">
        <w:rPr>
          <w:rFonts w:ascii="Calibri" w:hAnsi="Calibri" w:cs="Calibri"/>
          <w:b/>
          <w:bCs/>
          <w:sz w:val="21"/>
          <w:szCs w:val="21"/>
        </w:rPr>
        <w:t>The dollar value for what constitutes a significant financial interest seems very</w:t>
      </w:r>
      <w:r w:rsidR="00E13CD4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E13CD4">
        <w:rPr>
          <w:rFonts w:ascii="Calibri" w:hAnsi="Calibri" w:cs="Calibri"/>
          <w:b/>
          <w:bCs/>
          <w:sz w:val="21"/>
          <w:szCs w:val="21"/>
        </w:rPr>
        <w:t>arbitrary. Why is it set at $5,000 and $10,000 and not some value higher or lower?</w:t>
      </w:r>
    </w:p>
    <w:p w14:paraId="63A7BCA0" w14:textId="77777777" w:rsidR="00612C0A" w:rsidRDefault="00612C0A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5C885BBB" w14:textId="4CAEA975" w:rsidR="0074240E" w:rsidRPr="00CF5DBF" w:rsidRDefault="0074240E" w:rsidP="00436433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The dollar value is set by federal policy. The federal threshold is $5,000 or $10,000 and varies</w:t>
      </w:r>
    </w:p>
    <w:p w14:paraId="7633E9F9" w14:textId="77777777" w:rsidR="0074240E" w:rsidRPr="00CF5DBF" w:rsidRDefault="0074240E" w:rsidP="00436433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by federal agency.</w:t>
      </w:r>
    </w:p>
    <w:p w14:paraId="4C0EE29A" w14:textId="77777777" w:rsidR="00612C0A" w:rsidRDefault="00612C0A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79DF483A" w14:textId="37CCE6B3" w:rsidR="0074240E" w:rsidRPr="00E13CD4" w:rsidRDefault="0074240E" w:rsidP="0074240E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2C678B">
        <w:rPr>
          <w:rFonts w:ascii="Calibri" w:hAnsi="Calibri" w:cs="Calibri"/>
          <w:b/>
          <w:bCs/>
          <w:sz w:val="21"/>
          <w:szCs w:val="21"/>
        </w:rPr>
        <w:t>I do private, paid consulting, but have never formally incorporated a company.</w:t>
      </w:r>
      <w:r w:rsidR="00E13CD4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E13CD4">
        <w:rPr>
          <w:rFonts w:ascii="Calibri" w:hAnsi="Calibri" w:cs="Calibri"/>
          <w:b/>
          <w:bCs/>
          <w:sz w:val="21"/>
          <w:szCs w:val="21"/>
        </w:rPr>
        <w:t>Therefore, all this talk about conflicts of interest related to business activities is not</w:t>
      </w:r>
      <w:r w:rsidR="00E13CD4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E13CD4">
        <w:rPr>
          <w:rFonts w:ascii="Calibri" w:hAnsi="Calibri" w:cs="Calibri"/>
          <w:b/>
          <w:bCs/>
          <w:sz w:val="21"/>
          <w:szCs w:val="21"/>
        </w:rPr>
        <w:t>relevant to me, right?</w:t>
      </w:r>
    </w:p>
    <w:p w14:paraId="1CA7BCC7" w14:textId="77777777" w:rsidR="002C678B" w:rsidRDefault="002C678B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05E2E4AA" w14:textId="73444213" w:rsidR="0074240E" w:rsidRPr="00CF5DBF" w:rsidRDefault="0074240E" w:rsidP="00E13CD4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No. Anyone who consults privately for pay is, de facto, a sole proprietor of a business.</w:t>
      </w:r>
    </w:p>
    <w:p w14:paraId="11FF724D" w14:textId="77777777" w:rsidR="002C678B" w:rsidRDefault="002C678B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62659216" w14:textId="6D018045" w:rsidR="0074240E" w:rsidRPr="00C7704A" w:rsidRDefault="0074240E" w:rsidP="0074240E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2C678B">
        <w:rPr>
          <w:rFonts w:ascii="Calibri" w:hAnsi="Calibri" w:cs="Calibri"/>
          <w:b/>
          <w:bCs/>
          <w:sz w:val="21"/>
          <w:szCs w:val="21"/>
        </w:rPr>
        <w:t xml:space="preserve">My private consulting is done strictly in the evenings and on </w:t>
      </w:r>
      <w:r w:rsidR="00175960" w:rsidRPr="002C678B">
        <w:rPr>
          <w:rFonts w:ascii="Calibri" w:hAnsi="Calibri" w:cs="Calibri"/>
          <w:b/>
          <w:bCs/>
          <w:sz w:val="21"/>
          <w:szCs w:val="21"/>
        </w:rPr>
        <w:t>weekends and</w:t>
      </w:r>
      <w:r w:rsidRPr="002C678B">
        <w:rPr>
          <w:rFonts w:ascii="Calibri" w:hAnsi="Calibri" w:cs="Calibri"/>
          <w:b/>
          <w:bCs/>
          <w:sz w:val="21"/>
          <w:szCs w:val="21"/>
        </w:rPr>
        <w:t xml:space="preserve"> has</w:t>
      </w:r>
      <w:r w:rsidR="00C7704A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C7704A">
        <w:rPr>
          <w:rFonts w:ascii="Calibri" w:hAnsi="Calibri" w:cs="Calibri"/>
          <w:b/>
          <w:bCs/>
          <w:sz w:val="21"/>
          <w:szCs w:val="21"/>
        </w:rPr>
        <w:t>nothing to do with my Iowa State position. Do I need to report it?</w:t>
      </w:r>
    </w:p>
    <w:p w14:paraId="41F443CC" w14:textId="77777777" w:rsidR="002C678B" w:rsidRDefault="002C678B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6DA232D3" w14:textId="3CEF4343" w:rsidR="0074240E" w:rsidRPr="00CF5DBF" w:rsidRDefault="0074240E" w:rsidP="00436433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Yes. You need to report consulting activities even if they are done on evenings and weekends.</w:t>
      </w:r>
    </w:p>
    <w:p w14:paraId="0284CAE2" w14:textId="77777777" w:rsidR="0074240E" w:rsidRPr="00CF5DBF" w:rsidRDefault="0074240E" w:rsidP="00436433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B-based faculty must also report consulting that they do over the summer when they are not</w:t>
      </w:r>
    </w:p>
    <w:p w14:paraId="3B67E7E4" w14:textId="77777777" w:rsidR="0074240E" w:rsidRPr="00CF5DBF" w:rsidRDefault="0074240E" w:rsidP="00436433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on appointment.</w:t>
      </w:r>
    </w:p>
    <w:p w14:paraId="534FF177" w14:textId="77777777" w:rsidR="002C678B" w:rsidRDefault="002C678B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1C37DA9E" w14:textId="289BD059" w:rsidR="0074240E" w:rsidRPr="00CF7AF0" w:rsidRDefault="0074240E" w:rsidP="00CF7AF0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CF7AF0">
        <w:rPr>
          <w:rFonts w:ascii="Calibri" w:hAnsi="Calibri" w:cs="Calibri"/>
          <w:b/>
          <w:bCs/>
          <w:sz w:val="21"/>
          <w:szCs w:val="21"/>
        </w:rPr>
        <w:t>May I use my university email and computer for private consulting activities?</w:t>
      </w:r>
    </w:p>
    <w:p w14:paraId="17401F0F" w14:textId="77777777" w:rsidR="00CF7AF0" w:rsidRDefault="00CF7AF0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25CAA023" w14:textId="096F8B50" w:rsidR="0074240E" w:rsidRPr="00CF5DBF" w:rsidRDefault="0074240E" w:rsidP="00436433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No. Anything more than incidental use of university IT services or university equipment is</w:t>
      </w:r>
    </w:p>
    <w:p w14:paraId="696E3627" w14:textId="77777777" w:rsidR="0074240E" w:rsidRPr="00CF5DBF" w:rsidRDefault="0074240E" w:rsidP="00436433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prohibited. Use of a university computer for private consulting may also create confidentiality</w:t>
      </w:r>
    </w:p>
    <w:p w14:paraId="44207565" w14:textId="77777777" w:rsidR="0074240E" w:rsidRPr="00CF5DBF" w:rsidRDefault="0074240E" w:rsidP="00436433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concerns.</w:t>
      </w:r>
    </w:p>
    <w:p w14:paraId="0DF793AC" w14:textId="77777777" w:rsidR="00CF7AF0" w:rsidRDefault="00CF7AF0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5D033FE2" w14:textId="1C7C7D21" w:rsidR="0074240E" w:rsidRPr="00C7704A" w:rsidRDefault="0074240E" w:rsidP="0074240E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CF7AF0">
        <w:rPr>
          <w:rFonts w:ascii="Calibri" w:hAnsi="Calibri" w:cs="Calibri"/>
          <w:b/>
          <w:bCs/>
          <w:sz w:val="21"/>
          <w:szCs w:val="21"/>
        </w:rPr>
        <w:t>Are investigators who start companies based on their university research allowed to</w:t>
      </w:r>
      <w:r w:rsidR="00C7704A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C7704A">
        <w:rPr>
          <w:rFonts w:ascii="Calibri" w:hAnsi="Calibri" w:cs="Calibri"/>
          <w:b/>
          <w:bCs/>
          <w:sz w:val="21"/>
          <w:szCs w:val="21"/>
        </w:rPr>
        <w:t>use university equipment or facilities for their companies?</w:t>
      </w:r>
    </w:p>
    <w:p w14:paraId="7345A602" w14:textId="77777777" w:rsidR="00CF7AF0" w:rsidRPr="00CF7AF0" w:rsidRDefault="00CF7AF0" w:rsidP="00C7704A">
      <w:pPr>
        <w:pStyle w:val="p2"/>
        <w:rPr>
          <w:rFonts w:ascii="Calibri" w:hAnsi="Calibri" w:cs="Calibri"/>
          <w:b/>
          <w:bCs/>
          <w:sz w:val="21"/>
          <w:szCs w:val="21"/>
        </w:rPr>
      </w:pPr>
    </w:p>
    <w:p w14:paraId="60B6B0D1" w14:textId="305CCD88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Use of university equipment and facilities by employee-owned companies is permitted on the</w:t>
      </w:r>
    </w:p>
    <w:p w14:paraId="5BAA3B75" w14:textId="77777777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same basis as the use of university equipment and facilities by non-employee-owned</w:t>
      </w:r>
    </w:p>
    <w:p w14:paraId="2CB7E92C" w14:textId="77777777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companies. For example, an employee-owned company may be able to rent or lease university</w:t>
      </w:r>
    </w:p>
    <w:p w14:paraId="26790584" w14:textId="77777777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facilities, or pay fees for use of equipment.</w:t>
      </w:r>
    </w:p>
    <w:p w14:paraId="2B5FFE1D" w14:textId="77777777" w:rsidR="00CF7AF0" w:rsidRDefault="00CF7AF0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6A6C26E1" w14:textId="4045F60D" w:rsidR="0074240E" w:rsidRPr="00C7704A" w:rsidRDefault="0074240E" w:rsidP="0074240E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CF7AF0">
        <w:rPr>
          <w:rFonts w:ascii="Calibri" w:hAnsi="Calibri" w:cs="Calibri"/>
          <w:b/>
          <w:bCs/>
          <w:sz w:val="21"/>
          <w:szCs w:val="21"/>
        </w:rPr>
        <w:t>I chair a large and active department in which almost all faculty members engage in</w:t>
      </w:r>
      <w:r w:rsidR="00C7704A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C7704A">
        <w:rPr>
          <w:rFonts w:ascii="Calibri" w:hAnsi="Calibri" w:cs="Calibri"/>
          <w:b/>
          <w:bCs/>
          <w:sz w:val="21"/>
          <w:szCs w:val="21"/>
        </w:rPr>
        <w:t>multiple external activities for agencies and professional organizations. How will I be</w:t>
      </w:r>
      <w:r w:rsidR="00C7704A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C7704A">
        <w:rPr>
          <w:rFonts w:ascii="Calibri" w:hAnsi="Calibri" w:cs="Calibri"/>
          <w:b/>
          <w:bCs/>
          <w:sz w:val="21"/>
          <w:szCs w:val="21"/>
        </w:rPr>
        <w:t>able to develop management plans and monitor all these activities on a regular basis?</w:t>
      </w:r>
    </w:p>
    <w:p w14:paraId="6BC1F705" w14:textId="77777777" w:rsidR="00CF7AF0" w:rsidRDefault="00CF7AF0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521C7FB9" w14:textId="1CA4724F" w:rsidR="0074240E" w:rsidRPr="00CF5DBF" w:rsidRDefault="0074240E" w:rsidP="00C7704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Before doing anything else, you need to determine whether these faculty activities fall within</w:t>
      </w:r>
    </w:p>
    <w:p w14:paraId="2A5CAAF5" w14:textId="77777777" w:rsidR="0074240E" w:rsidRPr="00CF5DBF" w:rsidRDefault="0074240E" w:rsidP="00C7704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the purview of the COIC policy. Most faculty activities do not. The COIC Procedures,</w:t>
      </w:r>
    </w:p>
    <w:p w14:paraId="40174F2C" w14:textId="77777777" w:rsidR="0074240E" w:rsidRPr="00CF5DBF" w:rsidRDefault="0074240E" w:rsidP="00C7704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Applications and Guidance document provides guidance on the types of activities covered by</w:t>
      </w:r>
    </w:p>
    <w:p w14:paraId="5945207A" w14:textId="77777777" w:rsidR="0074240E" w:rsidRPr="00CF5DBF" w:rsidRDefault="0074240E" w:rsidP="00C7704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the policy.</w:t>
      </w:r>
    </w:p>
    <w:p w14:paraId="0F69350E" w14:textId="77777777" w:rsidR="00CF7AF0" w:rsidRDefault="00CF7AF0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15C73FE3" w14:textId="463619AA" w:rsidR="0074240E" w:rsidRPr="00C7704A" w:rsidRDefault="0074240E" w:rsidP="0074240E">
      <w:pPr>
        <w:pStyle w:val="p2"/>
        <w:numPr>
          <w:ilvl w:val="0"/>
          <w:numId w:val="2"/>
        </w:numPr>
        <w:rPr>
          <w:rFonts w:ascii="Calibri" w:hAnsi="Calibri" w:cs="Calibri"/>
          <w:b/>
          <w:bCs/>
          <w:sz w:val="21"/>
          <w:szCs w:val="21"/>
        </w:rPr>
      </w:pPr>
      <w:r w:rsidRPr="00CF7AF0">
        <w:rPr>
          <w:rFonts w:ascii="Calibri" w:hAnsi="Calibri" w:cs="Calibri"/>
          <w:b/>
          <w:bCs/>
          <w:sz w:val="21"/>
          <w:szCs w:val="21"/>
        </w:rPr>
        <w:t xml:space="preserve">I was just elected president of my professional organization, and now I am told I </w:t>
      </w:r>
      <w:proofErr w:type="gramStart"/>
      <w:r w:rsidRPr="00CF7AF0">
        <w:rPr>
          <w:rFonts w:ascii="Calibri" w:hAnsi="Calibri" w:cs="Calibri"/>
          <w:b/>
          <w:bCs/>
          <w:sz w:val="21"/>
          <w:szCs w:val="21"/>
        </w:rPr>
        <w:t>have</w:t>
      </w:r>
      <w:r w:rsidR="00C7704A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C7704A">
        <w:rPr>
          <w:rFonts w:ascii="Calibri" w:hAnsi="Calibri" w:cs="Calibri"/>
          <w:b/>
          <w:bCs/>
          <w:sz w:val="21"/>
          <w:szCs w:val="21"/>
        </w:rPr>
        <w:t>to</w:t>
      </w:r>
      <w:proofErr w:type="gramEnd"/>
      <w:r w:rsidRPr="00C7704A">
        <w:rPr>
          <w:rFonts w:ascii="Calibri" w:hAnsi="Calibri" w:cs="Calibri"/>
          <w:b/>
          <w:bCs/>
          <w:sz w:val="21"/>
          <w:szCs w:val="21"/>
        </w:rPr>
        <w:t xml:space="preserve"> report this. Why?</w:t>
      </w:r>
    </w:p>
    <w:p w14:paraId="72EABA75" w14:textId="77777777" w:rsidR="00CF7AF0" w:rsidRPr="00CF7AF0" w:rsidRDefault="00CF7AF0" w:rsidP="0074240E">
      <w:pPr>
        <w:pStyle w:val="p2"/>
        <w:rPr>
          <w:rFonts w:ascii="Calibri" w:hAnsi="Calibri" w:cs="Calibri"/>
          <w:b/>
          <w:bCs/>
          <w:sz w:val="21"/>
          <w:szCs w:val="21"/>
        </w:rPr>
      </w:pPr>
    </w:p>
    <w:p w14:paraId="17EA9FF7" w14:textId="5225102F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Leadership positions in professional organizations add prestige and benefit to Iowa State.</w:t>
      </w:r>
    </w:p>
    <w:p w14:paraId="1F07788F" w14:textId="4B0014D8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 xml:space="preserve">Still, such appointments can impact your </w:t>
      </w:r>
      <w:r w:rsidR="00C7704A" w:rsidRPr="00CF5DBF">
        <w:rPr>
          <w:rFonts w:ascii="Calibri" w:hAnsi="Calibri" w:cs="Calibri"/>
          <w:sz w:val="21"/>
          <w:szCs w:val="21"/>
        </w:rPr>
        <w:t>department or</w:t>
      </w:r>
      <w:r w:rsidRPr="00CF5DBF">
        <w:rPr>
          <w:rFonts w:ascii="Calibri" w:hAnsi="Calibri" w:cs="Calibri"/>
          <w:sz w:val="21"/>
          <w:szCs w:val="21"/>
        </w:rPr>
        <w:t xml:space="preserve"> deflect attention from other duties.</w:t>
      </w:r>
    </w:p>
    <w:p w14:paraId="7CA8D7C4" w14:textId="77777777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While it remains true that service to professional associations is considered part of your</w:t>
      </w:r>
    </w:p>
    <w:p w14:paraId="746A87E4" w14:textId="77777777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position responsibilities, it is appropriate to discuss with your supervisor the time and</w:t>
      </w:r>
    </w:p>
    <w:p w14:paraId="35EC2240" w14:textId="77777777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financial commitments that come with the position. Let your supervisor know of the time</w:t>
      </w:r>
    </w:p>
    <w:p w14:paraId="3EEAC4CC" w14:textId="77777777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commitment, and support provided by your association (such as travel support). If the</w:t>
      </w:r>
    </w:p>
    <w:p w14:paraId="5E2C3E1D" w14:textId="0F2DEE6D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 xml:space="preserve">association expects Iowa State to provide financial </w:t>
      </w:r>
      <w:r w:rsidR="00C7704A" w:rsidRPr="00CF5DBF">
        <w:rPr>
          <w:rFonts w:ascii="Calibri" w:hAnsi="Calibri" w:cs="Calibri"/>
          <w:sz w:val="21"/>
          <w:szCs w:val="21"/>
        </w:rPr>
        <w:t>support;</w:t>
      </w:r>
      <w:r w:rsidRPr="00CF5DBF">
        <w:rPr>
          <w:rFonts w:ascii="Calibri" w:hAnsi="Calibri" w:cs="Calibri"/>
          <w:sz w:val="21"/>
          <w:szCs w:val="21"/>
        </w:rPr>
        <w:t xml:space="preserve"> it is only fair to have a frank</w:t>
      </w:r>
      <w:r w:rsidR="00CF7AF0">
        <w:rPr>
          <w:rFonts w:ascii="Calibri" w:hAnsi="Calibri" w:cs="Calibri"/>
          <w:sz w:val="21"/>
          <w:szCs w:val="21"/>
        </w:rPr>
        <w:t xml:space="preserve"> </w:t>
      </w:r>
      <w:r w:rsidRPr="00CF5DBF">
        <w:rPr>
          <w:rFonts w:ascii="Calibri" w:hAnsi="Calibri" w:cs="Calibri"/>
          <w:sz w:val="21"/>
          <w:szCs w:val="21"/>
        </w:rPr>
        <w:t>conversation with your supervisor as early as possible.</w:t>
      </w:r>
    </w:p>
    <w:p w14:paraId="3690230F" w14:textId="77777777" w:rsidR="00CF7AF0" w:rsidRDefault="00CF7AF0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5F53B27A" w14:textId="03B99E65" w:rsidR="0074240E" w:rsidRPr="00CF7AF0" w:rsidRDefault="0074240E" w:rsidP="0074240E">
      <w:pPr>
        <w:pStyle w:val="p2"/>
        <w:rPr>
          <w:rFonts w:ascii="Calibri" w:hAnsi="Calibri" w:cs="Calibri"/>
          <w:b/>
          <w:bCs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17</w:t>
      </w:r>
      <w:r w:rsidRPr="00CF7AF0">
        <w:rPr>
          <w:rFonts w:ascii="Calibri" w:hAnsi="Calibri" w:cs="Calibri"/>
          <w:b/>
          <w:bCs/>
          <w:sz w:val="21"/>
          <w:szCs w:val="21"/>
        </w:rPr>
        <w:t>.</w:t>
      </w:r>
      <w:r w:rsidRPr="00CF7AF0">
        <w:rPr>
          <w:rStyle w:val="s1"/>
          <w:rFonts w:ascii="Calibri" w:eastAsiaTheme="majorEastAsia" w:hAnsi="Calibri" w:cs="Calibri"/>
          <w:b/>
          <w:bCs/>
          <w:sz w:val="21"/>
          <w:szCs w:val="21"/>
        </w:rPr>
        <w:t xml:space="preserve"> </w:t>
      </w:r>
      <w:r w:rsidRPr="00CF7AF0">
        <w:rPr>
          <w:rFonts w:ascii="Calibri" w:hAnsi="Calibri" w:cs="Calibri"/>
          <w:b/>
          <w:bCs/>
          <w:sz w:val="21"/>
          <w:szCs w:val="21"/>
        </w:rPr>
        <w:t>I expect to take up to nine days per semester away from work for Professional Activity</w:t>
      </w:r>
      <w:r w:rsidR="00C7704A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CF7AF0">
        <w:rPr>
          <w:rFonts w:ascii="Calibri" w:hAnsi="Calibri" w:cs="Calibri"/>
          <w:b/>
          <w:bCs/>
          <w:sz w:val="21"/>
          <w:szCs w:val="21"/>
        </w:rPr>
        <w:t>Leave. Does my</w:t>
      </w:r>
      <w:r w:rsidR="00175960">
        <w:rPr>
          <w:rFonts w:ascii="Calibri" w:hAnsi="Calibri" w:cs="Calibri"/>
          <w:b/>
          <w:bCs/>
          <w:sz w:val="21"/>
          <w:szCs w:val="21"/>
        </w:rPr>
        <w:t xml:space="preserve">   </w:t>
      </w:r>
      <w:r w:rsidRPr="00CF7AF0">
        <w:rPr>
          <w:rFonts w:ascii="Calibri" w:hAnsi="Calibri" w:cs="Calibri"/>
          <w:b/>
          <w:bCs/>
          <w:sz w:val="21"/>
          <w:szCs w:val="21"/>
        </w:rPr>
        <w:t>chair/supervisor need to approve it?</w:t>
      </w:r>
    </w:p>
    <w:p w14:paraId="01C5740A" w14:textId="77777777" w:rsidR="00CF7AF0" w:rsidRPr="00CF7AF0" w:rsidRDefault="00CF7AF0" w:rsidP="0074240E">
      <w:pPr>
        <w:pStyle w:val="p2"/>
        <w:rPr>
          <w:rFonts w:ascii="Calibri" w:hAnsi="Calibri" w:cs="Calibri"/>
          <w:b/>
          <w:bCs/>
          <w:sz w:val="21"/>
          <w:szCs w:val="21"/>
        </w:rPr>
      </w:pPr>
    </w:p>
    <w:p w14:paraId="28F2E929" w14:textId="55498D7A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Chairs/supervisors need to approve Professional Activity Leave. As indicated in the policy,</w:t>
      </w:r>
    </w:p>
    <w:p w14:paraId="09E78085" w14:textId="77777777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leave is provided because the balance of benefits to Iowa State outweighs the possible</w:t>
      </w:r>
    </w:p>
    <w:p w14:paraId="113A31C1" w14:textId="77777777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lastRenderedPageBreak/>
        <w:t>impacts on other work.</w:t>
      </w:r>
    </w:p>
    <w:p w14:paraId="57ABD652" w14:textId="77777777" w:rsidR="0053756C" w:rsidRDefault="0053756C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</w:p>
    <w:p w14:paraId="00937EE0" w14:textId="02DEB562" w:rsidR="0074240E" w:rsidRPr="0053756C" w:rsidRDefault="0074240E" w:rsidP="0053756C">
      <w:pPr>
        <w:pStyle w:val="p2"/>
        <w:numPr>
          <w:ilvl w:val="0"/>
          <w:numId w:val="3"/>
        </w:numPr>
        <w:rPr>
          <w:rFonts w:ascii="Calibri" w:hAnsi="Calibri" w:cs="Calibri"/>
          <w:b/>
          <w:bCs/>
          <w:sz w:val="21"/>
          <w:szCs w:val="21"/>
        </w:rPr>
      </w:pPr>
      <w:r w:rsidRPr="0053756C">
        <w:rPr>
          <w:rFonts w:ascii="Calibri" w:hAnsi="Calibri" w:cs="Calibri"/>
          <w:b/>
          <w:bCs/>
          <w:sz w:val="21"/>
          <w:szCs w:val="21"/>
        </w:rPr>
        <w:t>What happens if I ignore a possible conflict of interest and commitment situation?</w:t>
      </w:r>
    </w:p>
    <w:p w14:paraId="5A482274" w14:textId="77777777" w:rsidR="0053756C" w:rsidRDefault="0053756C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35770EF9" w14:textId="67559BD5" w:rsidR="0074240E" w:rsidRPr="00CF5DBF" w:rsidRDefault="0074240E" w:rsidP="00C7704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Iowa State policies on conflicts of interest and commitment are intended to help protect you</w:t>
      </w:r>
    </w:p>
    <w:p w14:paraId="338637C2" w14:textId="77777777" w:rsidR="0074240E" w:rsidRPr="00CF5DBF" w:rsidRDefault="0074240E" w:rsidP="00C7704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from accusations of improper use of state time or resources for personal gain, or from</w:t>
      </w:r>
    </w:p>
    <w:p w14:paraId="3F15CF7D" w14:textId="77777777" w:rsidR="0074240E" w:rsidRPr="00CF5DBF" w:rsidRDefault="0074240E" w:rsidP="00C7704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accusations that your external interests are compromising the integrity of your research.</w:t>
      </w:r>
    </w:p>
    <w:p w14:paraId="42C5C939" w14:textId="77777777" w:rsidR="0074240E" w:rsidRPr="00CF5DBF" w:rsidRDefault="0074240E" w:rsidP="00C7704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Because of the seriousness of conflicts of interest and commitment, university policy requires</w:t>
      </w:r>
    </w:p>
    <w:p w14:paraId="38C56F3E" w14:textId="77777777" w:rsidR="0074240E" w:rsidRPr="00CF5DBF" w:rsidRDefault="0074240E" w:rsidP="00C7704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employees to disclose potential conflicts of interest and commitment situations annually, or</w:t>
      </w:r>
    </w:p>
    <w:p w14:paraId="094967B5" w14:textId="77777777" w:rsidR="0074240E" w:rsidRPr="00CF5DBF" w:rsidRDefault="0074240E" w:rsidP="00C7704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whenever their situation changes. Violation of this policy constitutes academic misconduct. In</w:t>
      </w:r>
    </w:p>
    <w:p w14:paraId="601C377C" w14:textId="77777777" w:rsidR="0074240E" w:rsidRPr="00CF5DBF" w:rsidRDefault="0074240E" w:rsidP="00C7704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some cases, the failure to disclose and manage conflicts of interest and commitment is also a</w:t>
      </w:r>
    </w:p>
    <w:p w14:paraId="35897ABF" w14:textId="77777777" w:rsidR="0074240E" w:rsidRPr="00CF5DBF" w:rsidRDefault="0074240E" w:rsidP="00C7704A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violation of state and federal regulations.</w:t>
      </w:r>
    </w:p>
    <w:p w14:paraId="75645C11" w14:textId="77777777" w:rsidR="0053756C" w:rsidRPr="0053756C" w:rsidRDefault="0053756C" w:rsidP="0074240E">
      <w:pPr>
        <w:pStyle w:val="p2"/>
        <w:rPr>
          <w:rFonts w:ascii="Calibri" w:hAnsi="Calibri" w:cs="Calibri"/>
          <w:b/>
          <w:bCs/>
          <w:sz w:val="21"/>
          <w:szCs w:val="21"/>
        </w:rPr>
      </w:pPr>
    </w:p>
    <w:p w14:paraId="0CC122CF" w14:textId="2B0ACFF4" w:rsidR="0074240E" w:rsidRPr="00C7704A" w:rsidRDefault="0074240E" w:rsidP="0074240E">
      <w:pPr>
        <w:pStyle w:val="p2"/>
        <w:numPr>
          <w:ilvl w:val="0"/>
          <w:numId w:val="3"/>
        </w:numPr>
        <w:rPr>
          <w:rFonts w:ascii="Calibri" w:hAnsi="Calibri" w:cs="Calibri"/>
          <w:b/>
          <w:bCs/>
          <w:sz w:val="21"/>
          <w:szCs w:val="21"/>
        </w:rPr>
      </w:pPr>
      <w:r w:rsidRPr="0053756C">
        <w:rPr>
          <w:rFonts w:ascii="Calibri" w:hAnsi="Calibri" w:cs="Calibri"/>
          <w:b/>
          <w:bCs/>
          <w:sz w:val="21"/>
          <w:szCs w:val="21"/>
        </w:rPr>
        <w:t>Most of the real information about conflicts of interest and commitment seems to be in</w:t>
      </w:r>
      <w:r w:rsidR="00C7704A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C7704A">
        <w:rPr>
          <w:rFonts w:ascii="Calibri" w:hAnsi="Calibri" w:cs="Calibri"/>
          <w:b/>
          <w:bCs/>
          <w:sz w:val="21"/>
          <w:szCs w:val="21"/>
        </w:rPr>
        <w:t>the Procedures, Applications, and Guidance document rather than in the policy. Why</w:t>
      </w:r>
      <w:r w:rsidR="00C7704A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C7704A">
        <w:rPr>
          <w:rFonts w:ascii="Calibri" w:hAnsi="Calibri" w:cs="Calibri"/>
          <w:b/>
          <w:bCs/>
          <w:sz w:val="21"/>
          <w:szCs w:val="21"/>
        </w:rPr>
        <w:t>was it organized this way?</w:t>
      </w:r>
    </w:p>
    <w:p w14:paraId="3DA7BC29" w14:textId="77777777" w:rsidR="0053756C" w:rsidRDefault="0053756C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68611FC9" w14:textId="781AF7F7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The overall principles governing conflicts of interest and commitment, and their disclosure</w:t>
      </w:r>
    </w:p>
    <w:p w14:paraId="710D51E3" w14:textId="77777777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and management, are not expected to change significantly over time. However, the details are</w:t>
      </w:r>
    </w:p>
    <w:p w14:paraId="270B5293" w14:textId="77777777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expected to change frequently due to changes in federal, state, and Board of Regents laws,</w:t>
      </w:r>
    </w:p>
    <w:p w14:paraId="786B9476" w14:textId="77777777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rules, and regulations. The procedures for disclosure will also likely change as new</w:t>
      </w:r>
    </w:p>
    <w:p w14:paraId="522B6282" w14:textId="77777777" w:rsidR="0074240E" w:rsidRPr="00CF5DBF" w:rsidRDefault="0074240E" w:rsidP="00C7704A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technologies are developed.</w:t>
      </w:r>
    </w:p>
    <w:p w14:paraId="45A95B50" w14:textId="77777777" w:rsidR="0053756C" w:rsidRPr="00660723" w:rsidRDefault="0053756C" w:rsidP="0074240E">
      <w:pPr>
        <w:pStyle w:val="p2"/>
        <w:rPr>
          <w:rFonts w:ascii="Calibri" w:hAnsi="Calibri" w:cs="Calibri"/>
          <w:b/>
          <w:bCs/>
          <w:sz w:val="21"/>
          <w:szCs w:val="21"/>
        </w:rPr>
      </w:pPr>
    </w:p>
    <w:p w14:paraId="656F07F1" w14:textId="33364DC2" w:rsidR="0074240E" w:rsidRPr="00660723" w:rsidRDefault="0074240E" w:rsidP="00660723">
      <w:pPr>
        <w:pStyle w:val="p2"/>
        <w:numPr>
          <w:ilvl w:val="0"/>
          <w:numId w:val="3"/>
        </w:numPr>
        <w:rPr>
          <w:rFonts w:ascii="Calibri" w:hAnsi="Calibri" w:cs="Calibri"/>
          <w:b/>
          <w:bCs/>
          <w:sz w:val="21"/>
          <w:szCs w:val="21"/>
        </w:rPr>
      </w:pPr>
      <w:r w:rsidRPr="00660723">
        <w:rPr>
          <w:rFonts w:ascii="Calibri" w:hAnsi="Calibri" w:cs="Calibri"/>
          <w:b/>
          <w:bCs/>
          <w:sz w:val="21"/>
          <w:szCs w:val="21"/>
        </w:rPr>
        <w:t>I still have questions. Where can I go for help?</w:t>
      </w:r>
    </w:p>
    <w:p w14:paraId="4E290864" w14:textId="77777777" w:rsidR="00660723" w:rsidRDefault="00660723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6F9085E9" w14:textId="4CA41792" w:rsidR="0074240E" w:rsidRDefault="0074240E" w:rsidP="00FA3101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Every conflict of interest or commitment situation is different. For assistance, contact:</w:t>
      </w:r>
    </w:p>
    <w:p w14:paraId="379A6337" w14:textId="77777777" w:rsidR="00660723" w:rsidRPr="00CF5DBF" w:rsidRDefault="00660723" w:rsidP="00FA3101">
      <w:pPr>
        <w:pStyle w:val="p2"/>
        <w:ind w:left="360"/>
        <w:rPr>
          <w:rFonts w:ascii="Calibri" w:hAnsi="Calibri" w:cs="Calibri"/>
          <w:sz w:val="21"/>
          <w:szCs w:val="21"/>
        </w:rPr>
      </w:pPr>
    </w:p>
    <w:p w14:paraId="166E21ED" w14:textId="77777777" w:rsidR="0074240E" w:rsidRPr="00CF5DBF" w:rsidRDefault="0074240E" w:rsidP="00FA3101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•</w:t>
      </w:r>
      <w:r w:rsidRPr="00CF5DBF">
        <w:rPr>
          <w:rStyle w:val="s1"/>
          <w:rFonts w:ascii="Calibri" w:eastAsiaTheme="majorEastAsia" w:hAnsi="Calibri" w:cs="Calibri"/>
          <w:sz w:val="21"/>
          <w:szCs w:val="21"/>
        </w:rPr>
        <w:t xml:space="preserve"> </w:t>
      </w:r>
      <w:r w:rsidRPr="00660723">
        <w:rPr>
          <w:rFonts w:ascii="Calibri" w:hAnsi="Calibri" w:cs="Calibri"/>
          <w:b/>
          <w:bCs/>
          <w:sz w:val="21"/>
          <w:szCs w:val="21"/>
        </w:rPr>
        <w:t>COIC in research or sponsored funding:</w:t>
      </w:r>
      <w:r w:rsidRPr="00CF5DBF">
        <w:rPr>
          <w:rFonts w:ascii="Calibri" w:hAnsi="Calibri" w:cs="Calibri"/>
          <w:sz w:val="21"/>
          <w:szCs w:val="21"/>
        </w:rPr>
        <w:t xml:space="preserve"> Office of the Vice President for Research,</w:t>
      </w:r>
    </w:p>
    <w:p w14:paraId="1A183254" w14:textId="18876500" w:rsidR="0074240E" w:rsidRPr="00CF5DBF" w:rsidRDefault="0074240E" w:rsidP="00FA3101">
      <w:pPr>
        <w:pStyle w:val="p3"/>
        <w:ind w:left="720"/>
        <w:rPr>
          <w:rFonts w:ascii="Calibri" w:hAnsi="Calibri" w:cs="Calibri"/>
          <w:sz w:val="21"/>
          <w:szCs w:val="21"/>
        </w:rPr>
      </w:pPr>
      <w:r w:rsidRPr="00CF5DBF">
        <w:rPr>
          <w:rStyle w:val="s4"/>
          <w:rFonts w:ascii="Calibri" w:eastAsiaTheme="majorEastAsia" w:hAnsi="Calibri" w:cs="Calibri"/>
          <w:sz w:val="21"/>
          <w:szCs w:val="21"/>
        </w:rPr>
        <w:t>515-294-7793,</w:t>
      </w:r>
      <w:r w:rsidRPr="00CF5DBF">
        <w:rPr>
          <w:rFonts w:ascii="Calibri" w:hAnsi="Calibri" w:cs="Calibri"/>
          <w:sz w:val="21"/>
          <w:szCs w:val="21"/>
        </w:rPr>
        <w:t xml:space="preserve"> </w:t>
      </w:r>
      <w:hyperlink r:id="rId5" w:history="1">
        <w:r w:rsidRPr="00FA3101">
          <w:rPr>
            <w:rStyle w:val="Hyperlink"/>
            <w:rFonts w:ascii="Calibri" w:hAnsi="Calibri" w:cs="Calibri"/>
            <w:sz w:val="21"/>
            <w:szCs w:val="21"/>
          </w:rPr>
          <w:t>coi@iastate.edu</w:t>
        </w:r>
      </w:hyperlink>
    </w:p>
    <w:p w14:paraId="2D4F80F5" w14:textId="77777777" w:rsidR="0074240E" w:rsidRPr="00CF5DBF" w:rsidRDefault="0074240E" w:rsidP="00FA3101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660723">
        <w:rPr>
          <w:rFonts w:ascii="Calibri" w:hAnsi="Calibri" w:cs="Calibri"/>
          <w:b/>
          <w:bCs/>
          <w:sz w:val="21"/>
          <w:szCs w:val="21"/>
        </w:rPr>
        <w:t>•</w:t>
      </w:r>
      <w:r w:rsidRPr="00660723">
        <w:rPr>
          <w:rStyle w:val="s1"/>
          <w:rFonts w:ascii="Calibri" w:eastAsiaTheme="majorEastAsia" w:hAnsi="Calibri" w:cs="Calibri"/>
          <w:b/>
          <w:bCs/>
          <w:sz w:val="21"/>
          <w:szCs w:val="21"/>
        </w:rPr>
        <w:t xml:space="preserve"> </w:t>
      </w:r>
      <w:r w:rsidRPr="00660723">
        <w:rPr>
          <w:rFonts w:ascii="Calibri" w:hAnsi="Calibri" w:cs="Calibri"/>
          <w:b/>
          <w:bCs/>
          <w:sz w:val="21"/>
          <w:szCs w:val="21"/>
        </w:rPr>
        <w:t>Iowa State COIC policy:</w:t>
      </w:r>
      <w:r w:rsidRPr="00CF5DBF">
        <w:rPr>
          <w:rFonts w:ascii="Calibri" w:hAnsi="Calibri" w:cs="Calibri"/>
          <w:sz w:val="21"/>
          <w:szCs w:val="21"/>
        </w:rPr>
        <w:t xml:space="preserve"> Office of the Senior Vice President and Provost, 515-294-</w:t>
      </w:r>
    </w:p>
    <w:p w14:paraId="5E12F292" w14:textId="77777777" w:rsidR="0074240E" w:rsidRPr="00CF5DBF" w:rsidRDefault="0074240E" w:rsidP="00FA3101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8236.</w:t>
      </w:r>
    </w:p>
    <w:p w14:paraId="17F0B464" w14:textId="77777777" w:rsidR="0074240E" w:rsidRPr="00CF5DBF" w:rsidRDefault="0074240E" w:rsidP="00FA3101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660723">
        <w:rPr>
          <w:rFonts w:ascii="Calibri" w:hAnsi="Calibri" w:cs="Calibri"/>
          <w:b/>
          <w:bCs/>
          <w:sz w:val="21"/>
          <w:szCs w:val="21"/>
        </w:rPr>
        <w:t>•</w:t>
      </w:r>
      <w:r w:rsidRPr="00660723">
        <w:rPr>
          <w:rStyle w:val="s1"/>
          <w:rFonts w:ascii="Calibri" w:eastAsiaTheme="majorEastAsia" w:hAnsi="Calibri" w:cs="Calibri"/>
          <w:b/>
          <w:bCs/>
          <w:sz w:val="21"/>
          <w:szCs w:val="21"/>
        </w:rPr>
        <w:t xml:space="preserve"> </w:t>
      </w:r>
      <w:r w:rsidRPr="00660723">
        <w:rPr>
          <w:rFonts w:ascii="Calibri" w:hAnsi="Calibri" w:cs="Calibri"/>
          <w:b/>
          <w:bCs/>
          <w:sz w:val="21"/>
          <w:szCs w:val="21"/>
        </w:rPr>
        <w:t>COIC in procurement:</w:t>
      </w:r>
      <w:r w:rsidRPr="00CF5DBF">
        <w:rPr>
          <w:rFonts w:ascii="Calibri" w:hAnsi="Calibri" w:cs="Calibri"/>
          <w:sz w:val="21"/>
          <w:szCs w:val="21"/>
        </w:rPr>
        <w:t xml:space="preserve"> Director of Procurement Services, 515-294-2591.</w:t>
      </w:r>
    </w:p>
    <w:p w14:paraId="133543F9" w14:textId="77777777" w:rsidR="00660723" w:rsidRDefault="00660723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084522A5" w14:textId="38DD0C7F" w:rsidR="0074240E" w:rsidRPr="00CF5DBF" w:rsidRDefault="0074240E" w:rsidP="00175960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If you wish to discuss your situation with a confidential resource prior to making a disclosure,</w:t>
      </w:r>
    </w:p>
    <w:p w14:paraId="5F4EBDE6" w14:textId="48A20BAC" w:rsidR="0074240E" w:rsidRPr="00CF5DBF" w:rsidRDefault="0074240E" w:rsidP="00175960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 xml:space="preserve">you may contact the Ombuds Office at </w:t>
      </w:r>
      <w:hyperlink r:id="rId6" w:history="1">
        <w:r w:rsidRPr="00FA3101">
          <w:rPr>
            <w:rStyle w:val="Hyperlink"/>
            <w:rFonts w:ascii="Calibri" w:hAnsi="Calibri" w:cs="Calibri"/>
            <w:sz w:val="21"/>
            <w:szCs w:val="21"/>
          </w:rPr>
          <w:t>ombuds@iastate.edu</w:t>
        </w:r>
      </w:hyperlink>
      <w:r w:rsidRPr="00CF5DBF">
        <w:rPr>
          <w:rFonts w:ascii="Calibri" w:hAnsi="Calibri" w:cs="Calibri"/>
          <w:sz w:val="21"/>
          <w:szCs w:val="21"/>
        </w:rPr>
        <w:t>. The Ombuds Officer can listen to</w:t>
      </w:r>
    </w:p>
    <w:p w14:paraId="6AD815F7" w14:textId="77777777" w:rsidR="0074240E" w:rsidRPr="00CF5DBF" w:rsidRDefault="0074240E" w:rsidP="00175960">
      <w:pPr>
        <w:pStyle w:val="p2"/>
        <w:ind w:left="72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your concerns and may be able to suggest options for resolution.</w:t>
      </w:r>
    </w:p>
    <w:p w14:paraId="4EEADF6A" w14:textId="77777777" w:rsidR="00660723" w:rsidRDefault="00660723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7ECF96C5" w14:textId="5DF82A00" w:rsidR="0074240E" w:rsidRPr="00660723" w:rsidRDefault="0074240E" w:rsidP="00660723">
      <w:pPr>
        <w:pStyle w:val="p2"/>
        <w:numPr>
          <w:ilvl w:val="0"/>
          <w:numId w:val="3"/>
        </w:numPr>
        <w:rPr>
          <w:rFonts w:ascii="Calibri" w:hAnsi="Calibri" w:cs="Calibri"/>
          <w:b/>
          <w:bCs/>
          <w:sz w:val="21"/>
          <w:szCs w:val="21"/>
        </w:rPr>
      </w:pPr>
      <w:r w:rsidRPr="00660723">
        <w:rPr>
          <w:rFonts w:ascii="Calibri" w:hAnsi="Calibri" w:cs="Calibri"/>
          <w:b/>
          <w:bCs/>
          <w:sz w:val="21"/>
          <w:szCs w:val="21"/>
        </w:rPr>
        <w:t>Who is Iowa State’s Conflict of Interest Officer?</w:t>
      </w:r>
    </w:p>
    <w:p w14:paraId="2E38FE23" w14:textId="77777777" w:rsidR="00660723" w:rsidRDefault="00660723" w:rsidP="0074240E">
      <w:pPr>
        <w:pStyle w:val="p2"/>
        <w:rPr>
          <w:rFonts w:ascii="Calibri" w:hAnsi="Calibri" w:cs="Calibri"/>
          <w:sz w:val="21"/>
          <w:szCs w:val="21"/>
        </w:rPr>
      </w:pPr>
    </w:p>
    <w:p w14:paraId="7CD7EF16" w14:textId="14702B47" w:rsidR="0074240E" w:rsidRPr="00CF5DBF" w:rsidRDefault="0074240E" w:rsidP="00FA3101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Iowa State’s Conflict of Interest Officer is appointed by the Vice President for Research. The</w:t>
      </w:r>
    </w:p>
    <w:p w14:paraId="02FC1203" w14:textId="77777777" w:rsidR="0074240E" w:rsidRPr="00CF5DBF" w:rsidRDefault="0074240E" w:rsidP="00FA3101">
      <w:pPr>
        <w:pStyle w:val="p2"/>
        <w:ind w:left="360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current COI Officer is Brooke Langlitz, Associate Director, Office of Research Ethics.</w:t>
      </w:r>
    </w:p>
    <w:p w14:paraId="7FBB4891" w14:textId="77777777" w:rsidR="00660723" w:rsidRDefault="00660723" w:rsidP="0074240E">
      <w:pPr>
        <w:pStyle w:val="p4"/>
        <w:rPr>
          <w:rFonts w:ascii="Calibri" w:hAnsi="Calibri" w:cs="Calibri"/>
          <w:sz w:val="21"/>
          <w:szCs w:val="21"/>
        </w:rPr>
      </w:pPr>
    </w:p>
    <w:p w14:paraId="630375D9" w14:textId="77777777" w:rsidR="00660723" w:rsidRDefault="00660723" w:rsidP="0074240E">
      <w:pPr>
        <w:pStyle w:val="p4"/>
        <w:rPr>
          <w:rFonts w:ascii="Calibri" w:hAnsi="Calibri" w:cs="Calibri"/>
          <w:sz w:val="21"/>
          <w:szCs w:val="21"/>
        </w:rPr>
      </w:pPr>
    </w:p>
    <w:p w14:paraId="1B4BA9AD" w14:textId="4EDBD83D" w:rsidR="0074240E" w:rsidRPr="00CF5DBF" w:rsidRDefault="0074240E" w:rsidP="0074240E">
      <w:pPr>
        <w:pStyle w:val="p4"/>
        <w:rPr>
          <w:rFonts w:ascii="Calibri" w:hAnsi="Calibri" w:cs="Calibri"/>
          <w:sz w:val="21"/>
          <w:szCs w:val="21"/>
        </w:rPr>
      </w:pPr>
      <w:r w:rsidRPr="00CF5DBF">
        <w:rPr>
          <w:rFonts w:ascii="Calibri" w:hAnsi="Calibri" w:cs="Calibri"/>
          <w:sz w:val="21"/>
          <w:szCs w:val="21"/>
        </w:rPr>
        <w:t>January 1, 2021</w:t>
      </w:r>
      <w:r w:rsidRPr="00CF5DBF">
        <w:rPr>
          <w:rStyle w:val="apple-converted-space"/>
          <w:rFonts w:ascii="Calibri" w:eastAsiaTheme="majorEastAsia" w:hAnsi="Calibri" w:cs="Calibri"/>
          <w:sz w:val="21"/>
          <w:szCs w:val="21"/>
        </w:rPr>
        <w:t> </w:t>
      </w:r>
    </w:p>
    <w:p w14:paraId="5387BC11" w14:textId="77777777" w:rsidR="00006C0C" w:rsidRPr="00CF5DBF" w:rsidRDefault="00006C0C">
      <w:pPr>
        <w:rPr>
          <w:rFonts w:ascii="Calibri" w:hAnsi="Calibri" w:cs="Calibri"/>
          <w:sz w:val="21"/>
          <w:szCs w:val="21"/>
        </w:rPr>
      </w:pPr>
    </w:p>
    <w:sectPr w:rsidR="00006C0C" w:rsidRPr="00CF5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54114"/>
    <w:multiLevelType w:val="hybridMultilevel"/>
    <w:tmpl w:val="C810B6BA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65703E"/>
    <w:multiLevelType w:val="hybridMultilevel"/>
    <w:tmpl w:val="7BD41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943"/>
    <w:multiLevelType w:val="hybridMultilevel"/>
    <w:tmpl w:val="BC7447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368949">
    <w:abstractNumId w:val="1"/>
  </w:num>
  <w:num w:numId="2" w16cid:durableId="1936863420">
    <w:abstractNumId w:val="2"/>
  </w:num>
  <w:num w:numId="3" w16cid:durableId="177879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0E"/>
    <w:rsid w:val="00006C0C"/>
    <w:rsid w:val="000341A2"/>
    <w:rsid w:val="00044617"/>
    <w:rsid w:val="00123A52"/>
    <w:rsid w:val="00175960"/>
    <w:rsid w:val="002C678B"/>
    <w:rsid w:val="002F5D23"/>
    <w:rsid w:val="0041054F"/>
    <w:rsid w:val="00436433"/>
    <w:rsid w:val="0053756C"/>
    <w:rsid w:val="00612C0A"/>
    <w:rsid w:val="00660723"/>
    <w:rsid w:val="0074240E"/>
    <w:rsid w:val="00860E1D"/>
    <w:rsid w:val="00C7704A"/>
    <w:rsid w:val="00CF5DBF"/>
    <w:rsid w:val="00CF7AF0"/>
    <w:rsid w:val="00E13CD4"/>
    <w:rsid w:val="00F05228"/>
    <w:rsid w:val="00F959E5"/>
    <w:rsid w:val="00FA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ABD683"/>
  <w15:chartTrackingRefBased/>
  <w15:docId w15:val="{C24249EE-42BB-5E4E-8CE9-DC7B876B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40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4240E"/>
    <w:pPr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p2">
    <w:name w:val="p2"/>
    <w:basedOn w:val="Normal"/>
    <w:rsid w:val="0074240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3">
    <w:name w:val="p3"/>
    <w:basedOn w:val="Normal"/>
    <w:rsid w:val="0074240E"/>
    <w:pPr>
      <w:spacing w:after="0" w:line="240" w:lineRule="auto"/>
    </w:pPr>
    <w:rPr>
      <w:rFonts w:ascii="Helvetica" w:eastAsia="Times New Roman" w:hAnsi="Helvetica" w:cs="Times New Roman"/>
      <w:color w:val="0000FF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74240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74240E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efaultParagraphFont"/>
    <w:rsid w:val="0074240E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DefaultParagraphFont"/>
    <w:rsid w:val="0074240E"/>
    <w:rPr>
      <w:rFonts w:ascii="Helvetica" w:hAnsi="Helvetica" w:hint="default"/>
      <w:sz w:val="18"/>
      <w:szCs w:val="18"/>
    </w:rPr>
  </w:style>
  <w:style w:type="character" w:customStyle="1" w:styleId="s4">
    <w:name w:val="s4"/>
    <w:basedOn w:val="DefaultParagraphFont"/>
    <w:rsid w:val="0074240E"/>
    <w:rPr>
      <w:color w:val="000000"/>
    </w:rPr>
  </w:style>
  <w:style w:type="character" w:customStyle="1" w:styleId="s5">
    <w:name w:val="s5"/>
    <w:basedOn w:val="DefaultParagraphFont"/>
    <w:rsid w:val="0074240E"/>
    <w:rPr>
      <w:color w:val="0000FF"/>
    </w:rPr>
  </w:style>
  <w:style w:type="character" w:customStyle="1" w:styleId="apple-converted-space">
    <w:name w:val="apple-converted-space"/>
    <w:basedOn w:val="DefaultParagraphFont"/>
    <w:rsid w:val="0074240E"/>
  </w:style>
  <w:style w:type="character" w:styleId="Hyperlink">
    <w:name w:val="Hyperlink"/>
    <w:basedOn w:val="DefaultParagraphFont"/>
    <w:uiPriority w:val="99"/>
    <w:unhideWhenUsed/>
    <w:rsid w:val="00FA31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buds@iastate.edu" TargetMode="External"/><Relationship Id="rId5" Type="http://schemas.openxmlformats.org/officeDocument/2006/relationships/hyperlink" Target="mailto:coi@ia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Melanie K [SVPP]</dc:creator>
  <cp:keywords/>
  <dc:description/>
  <cp:lastModifiedBy>Lee, Melanie K [SVPP]</cp:lastModifiedBy>
  <cp:revision>15</cp:revision>
  <dcterms:created xsi:type="dcterms:W3CDTF">2025-11-10T19:08:00Z</dcterms:created>
  <dcterms:modified xsi:type="dcterms:W3CDTF">2025-11-10T19:58:00Z</dcterms:modified>
</cp:coreProperties>
</file>